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Incident Response Plan</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This document outlines the incident response procedures for Acme Inc. It covers detection, classification, notification, investigation, remediation, and post-incident review.</w:t>
      </w:r>
    </w:p>
    <w:p>
      <w:pPr>
        <w:pStyle w:val="Heading2"/>
      </w:pPr>
      <w:r>
        <w:t>1. Incident Classification</w:t>
      </w:r>
    </w:p>
    <w:p>
      <w:r>
        <w:t xml:space="preserve">All security incidents and data breaches are classified by severity to determine the appropriate response timeline and escalation path.</w:t>
      </w:r>
    </w:p>
    <w:p>
      <w:r>
        <w:rPr>
          <w:sz w:val="20"/>
        </w:rPr>
        <w:t xml:space="preserve">Severity  |  Description  |  Response Time  |  Examples</w:t>
      </w:r>
    </w:p>
    <w:p>
      <w:r>
        <w:rPr>
          <w:sz w:val="20"/>
        </w:rPr>
        <w:t xml:space="preserve">**Critical (P1)**  |  Active data breach with confirmed data exfiltration or system compromise  |  Immediate (within 1 hour)  |  Unauthorized access to production database, ransomware, leaked credentials actively exploited</w:t>
      </w:r>
    </w:p>
    <w:p>
      <w:r>
        <w:rPr>
          <w:sz w:val="20"/>
        </w:rPr>
        <w:t xml:space="preserve">**High (P2)**  |  Confirmed security incident with potential data exposure  |  Within 4 hours  |  Vulnerability actively being exploited, unauthorized access detected, suspected data leak</w:t>
      </w:r>
    </w:p>
    <w:p>
      <w:r>
        <w:rPr>
          <w:sz w:val="20"/>
        </w:rPr>
        <w:t xml:space="preserve">**Medium (P3)**  |  Security event requiring investigation  |  Within 24 hours  |  Unusual access patterns, failed intrusion attempts, misconfiguration discovered</w:t>
      </w:r>
    </w:p>
    <w:p>
      <w:r>
        <w:rPr>
          <w:sz w:val="20"/>
        </w:rPr>
        <w:t xml:space="preserve">**Low (P4)**  |  Minor security event or policy violation  |  Within 72 hours  |  Phishing attempt blocked, minor policy violation, non-sensitive data exposure</w:t>
      </w:r>
    </w:p>
    <w:p>
      <w:pPr>
        <w:pStyle w:val="Heading2"/>
      </w:pPr>
      <w:r>
        <w:t>2. Detection and Reporting Procedures</w:t>
      </w:r>
    </w:p>
    <w:p>
      <w:pPr>
        <w:pStyle w:val="Heading3"/>
      </w:pPr>
      <w:r>
        <w:t>How to Report an Incident</w:t>
      </w:r>
    </w:p>
    <w:p>
      <w:r>
        <w:t xml:space="preserve">Any employee, contractor, or third party who discovers or suspects a security incident must report it immediately:</w:t>
      </w:r>
    </w:p>
    <w:p>
      <w:pPr>
        <w:pStyle w:val="ListParagraph"/>
        <w:numPr>
          <w:ilvl w:val="0"/>
          <w:numId w:val="2"/>
        </w:numPr>
      </w:pPr>
      <w:r>
        <w:t xml:space="preserve">**Email:** [legal@acme.com](mailto:legal@acme.com)</w:t>
      </w:r>
    </w:p>
    <w:p>
      <w:pPr>
        <w:pStyle w:val="ListParagraph"/>
        <w:numPr>
          <w:ilvl w:val="0"/>
          <w:numId w:val="2"/>
        </w:numPr>
      </w:pPr>
      <w:r>
        <w:t xml:space="preserve">**Escalation:** Contact the DPO at [dpo@acme-saas.com](mailto:dpo@acme-saas.com)</w:t>
      </w:r>
    </w:p>
    <w:p>
      <w:pPr>
        <w:pStyle w:val="ListParagraph"/>
        <w:numPr>
          <w:ilvl w:val="0"/>
          <w:numId w:val="2"/>
        </w:numPr>
      </w:pPr>
      <w:r>
        <w:t xml:space="preserve">**Do NOT** attempt to investigate or remediate the issue independently</w:t>
      </w:r>
    </w:p>
    <w:p>
      <w:pPr>
        <w:pStyle w:val="ListParagraph"/>
        <w:numPr>
          <w:ilvl w:val="0"/>
          <w:numId w:val="2"/>
        </w:numPr>
      </w:pPr>
      <w:r>
        <w:t xml:space="preserve">**Do NOT** communicate about the incident on public channels</w:t>
      </w:r>
    </w:p>
    <w:p>
      <w:pPr>
        <w:pStyle w:val="Heading3"/>
      </w:pPr>
      <w:r>
        <w:t>Information to Include</w:t>
      </w:r>
    </w:p>
    <w:p>
      <w:pPr>
        <w:pStyle w:val="ListParagraph"/>
        <w:numPr>
          <w:ilvl w:val="0"/>
          <w:numId w:val="1"/>
        </w:numPr>
      </w:pPr>
      <w:r>
        <w:t xml:space="preserve">Date and time the incident was discovered</w:t>
      </w:r>
    </w:p>
    <w:p>
      <w:pPr>
        <w:pStyle w:val="ListParagraph"/>
        <w:numPr>
          <w:ilvl w:val="0"/>
          <w:numId w:val="1"/>
        </w:numPr>
      </w:pPr>
      <w:r>
        <w:t xml:space="preserve">Description of what occurred</w:t>
      </w:r>
    </w:p>
    <w:p>
      <w:pPr>
        <w:pStyle w:val="ListParagraph"/>
        <w:numPr>
          <w:ilvl w:val="0"/>
          <w:numId w:val="1"/>
        </w:numPr>
      </w:pPr>
      <w:r>
        <w:t xml:space="preserve">Systems, services, or data affected</w:t>
      </w:r>
    </w:p>
    <w:p>
      <w:pPr>
        <w:pStyle w:val="ListParagraph"/>
        <w:numPr>
          <w:ilvl w:val="0"/>
          <w:numId w:val="1"/>
        </w:numPr>
      </w:pPr>
      <w:r>
        <w:t xml:space="preserve">How the incident was detected</w:t>
      </w:r>
    </w:p>
    <w:p>
      <w:pPr>
        <w:pStyle w:val="ListParagraph"/>
        <w:numPr>
          <w:ilvl w:val="0"/>
          <w:numId w:val="1"/>
        </w:numPr>
      </w:pPr>
      <w:r>
        <w:t xml:space="preserve">Any actions already taken</w:t>
      </w:r>
    </w:p>
    <w:p>
      <w:pPr>
        <w:pStyle w:val="ListParagraph"/>
        <w:numPr>
          <w:ilvl w:val="0"/>
          <w:numId w:val="1"/>
        </w:numPr>
      </w:pPr>
      <w:r>
        <w:t xml:space="preserve">Contact information of the reporter</w:t>
      </w:r>
    </w:p>
    <w:p>
      <w:pPr>
        <w:pStyle w:val="Heading2"/>
      </w:pPr>
      <w:r>
        <w:t>3. GDPR 72-Hour Notification Requirement</w:t>
      </w:r>
    </w:p>
    <w:p>
      <w:r>
        <w:t xml:space="preserve">Under Article 33 of the GDPR, personal data breaches must be reported to the relevant supervisory authority within 72 hours of becoming aware of the breach, unless the breach is unlikely to result in a risk to the rights and freedoms of individuals.</w:t>
      </w:r>
    </w:p>
    <w:p>
      <w:pPr>
        <w:pStyle w:val="Heading3"/>
      </w:pPr>
      <w:r>
        <w:t>Timeline</w:t>
      </w:r>
    </w:p>
    <w:p>
      <w:r>
        <w:rPr>
          <w:sz w:val="20"/>
        </w:rPr>
        <w:t xml:space="preserve">Milestone  |  Deadline</w:t>
      </w:r>
    </w:p>
    <w:p>
      <w:r>
        <w:rPr>
          <w:sz w:val="20"/>
        </w:rPr>
        <w:t xml:space="preserve">Breach discovered  |  T = 0</w:t>
      </w:r>
    </w:p>
    <w:p>
      <w:r>
        <w:rPr>
          <w:sz w:val="20"/>
        </w:rPr>
        <w:t xml:space="preserve">Internal assessment complete  |  T + 24 hours</w:t>
      </w:r>
    </w:p>
    <w:p>
      <w:r>
        <w:rPr>
          <w:sz w:val="20"/>
        </w:rPr>
        <w:t xml:space="preserve">Decision on notification obligation  |  T + 36 hours</w:t>
      </w:r>
    </w:p>
    <w:p>
      <w:r>
        <w:rPr>
          <w:sz w:val="20"/>
        </w:rPr>
        <w:t xml:space="preserve">Supervisory authority notified  |  T + 72 hours (maximum)</w:t>
      </w:r>
    </w:p>
    <w:p>
      <w:r>
        <w:rPr>
          <w:sz w:val="20"/>
        </w:rPr>
        <w:t xml:space="preserve">Affected individuals notified (if high risk)  |  Without undue delay</w:t>
      </w:r>
    </w:p>
    <w:p>
      <w:r>
        <w:t xml:space="preserve">If notification cannot be made within 72 hours, the reasons for the delay must be documented and communicated to the authority.</w:t>
      </w:r>
    </w:p>
    <w:p>
      <w:pPr>
        <w:pStyle w:val="Heading2"/>
      </w:pPr>
      <w:r>
        <w:t>4. Authority Notification Template</w:t>
      </w:r>
    </w:p>
    <w:p>
      <w:r>
        <w:t xml:space="preserve">Use the following template when notifying the supervisory authority of a personal data breach:</w:t>
      </w:r>
    </w:p>
    <w:p>
      <w:pPr>
        <w:pStyle w:val="Code"/>
      </w:pPr>
      <w:r>
        <w:rPr>
          <w:rFonts w:ascii="Courier New" w:hAnsi="Courier New"/>
          <w:sz w:val="18"/>
        </w:rPr>
        <w:t xml:space="preserve">PERSONAL DATA BREACH NOTIFICATION</w:t>
      </w:r>
    </w:p>
    <w:p>
      <w:pPr>
        <w:pStyle w:val="Code"/>
      </w:pPr>
      <w:r>
        <w:rPr>
          <w:rFonts w:ascii="Courier New" w:hAnsi="Courier New"/>
          <w:sz w:val="18"/>
        </w:rPr>
        <w:t xml:space="preserve">=================================</w:t>
      </w:r>
    </w:p>
    <w:p>
      <w:pPr>
        <w:pStyle w:val="Code"/>
      </w:pPr>
      <w:r>
        <w:rPr>
          <w:rFonts w:ascii="Courier New" w:hAnsi="Courier New"/>
          <w:sz w:val="18"/>
        </w:rPr>
        <w:t xml:space="preserve"/>
      </w:r>
    </w:p>
    <w:p>
      <w:pPr>
        <w:pStyle w:val="Code"/>
      </w:pPr>
      <w:r>
        <w:rPr>
          <w:rFonts w:ascii="Courier New" w:hAnsi="Courier New"/>
          <w:sz w:val="18"/>
        </w:rPr>
        <w:t xml:space="preserve">Organization: Acme Inc</w:t>
      </w:r>
    </w:p>
    <w:p>
      <w:pPr>
        <w:pStyle w:val="Code"/>
      </w:pPr>
      <w:r>
        <w:rPr>
          <w:rFonts w:ascii="Courier New" w:hAnsi="Courier New"/>
          <w:sz w:val="18"/>
        </w:rPr>
        <w:t xml:space="preserve">DPO / Contact: Jane Mueller (dpo@acme-saas.com)</w:t>
      </w:r>
    </w:p>
    <w:p>
      <w:pPr>
        <w:pStyle w:val="Code"/>
      </w:pPr>
      <w:r>
        <w:rPr>
          <w:rFonts w:ascii="Courier New" w:hAnsi="Courier New"/>
          <w:sz w:val="18"/>
        </w:rPr>
        <w:t xml:space="preserve">Website: https://acme-saas.com</w:t>
      </w:r>
    </w:p>
    <w:p>
      <w:pPr>
        <w:pStyle w:val="Code"/>
      </w:pPr>
      <w:r>
        <w:rPr>
          <w:rFonts w:ascii="Courier New" w:hAnsi="Courier New"/>
          <w:sz w:val="18"/>
        </w:rPr>
        <w:t xml:space="preserve"/>
      </w:r>
    </w:p>
    <w:p>
      <w:pPr>
        <w:pStyle w:val="Code"/>
      </w:pPr>
      <w:r>
        <w:rPr>
          <w:rFonts w:ascii="Courier New" w:hAnsi="Courier New"/>
          <w:sz w:val="18"/>
        </w:rPr>
        <w:t xml:space="preserve">Date and time breach was discovered: [DATE/TIME]</w:t>
      </w:r>
    </w:p>
    <w:p>
      <w:pPr>
        <w:pStyle w:val="Code"/>
      </w:pPr>
      <w:r>
        <w:rPr>
          <w:rFonts w:ascii="Courier New" w:hAnsi="Courier New"/>
          <w:sz w:val="18"/>
        </w:rPr>
        <w:t xml:space="preserve">Date and time breach occurred (if known): [DATE/TIME]</w:t>
      </w:r>
    </w:p>
    <w:p>
      <w:pPr>
        <w:pStyle w:val="Code"/>
      </w:pPr>
      <w:r>
        <w:rPr>
          <w:rFonts w:ascii="Courier New" w:hAnsi="Courier New"/>
          <w:sz w:val="18"/>
        </w:rPr>
        <w:t xml:space="preserve"/>
      </w:r>
    </w:p>
    <w:p>
      <w:pPr>
        <w:pStyle w:val="Code"/>
      </w:pPr>
      <w:r>
        <w:rPr>
          <w:rFonts w:ascii="Courier New" w:hAnsi="Courier New"/>
          <w:sz w:val="18"/>
        </w:rPr>
        <w:t xml:space="preserve">Nature of the breach:</w:t>
      </w:r>
    </w:p>
    <w:p>
      <w:pPr>
        <w:pStyle w:val="Code"/>
      </w:pPr>
      <w:r>
        <w:rPr>
          <w:rFonts w:ascii="Courier New" w:hAnsi="Courier New"/>
          <w:sz w:val="18"/>
        </w:rPr>
        <w:t xml:space="preserve">  [ ] Confidentiality breach (unauthorized disclosure)</w:t>
      </w:r>
    </w:p>
    <w:p>
      <w:pPr>
        <w:pStyle w:val="Code"/>
      </w:pPr>
      <w:r>
        <w:rPr>
          <w:rFonts w:ascii="Courier New" w:hAnsi="Courier New"/>
          <w:sz w:val="18"/>
        </w:rPr>
        <w:t xml:space="preserve">  [ ] Integrity breach (unauthorized alteration)</w:t>
      </w:r>
    </w:p>
    <w:p>
      <w:pPr>
        <w:pStyle w:val="Code"/>
      </w:pPr>
      <w:r>
        <w:rPr>
          <w:rFonts w:ascii="Courier New" w:hAnsi="Courier New"/>
          <w:sz w:val="18"/>
        </w:rPr>
        <w:t xml:space="preserve">  [ ] Availability breach (unauthorized loss of access)</w:t>
      </w:r>
    </w:p>
    <w:p>
      <w:pPr>
        <w:pStyle w:val="Code"/>
      </w:pPr>
      <w:r>
        <w:rPr>
          <w:rFonts w:ascii="Courier New" w:hAnsi="Courier New"/>
          <w:sz w:val="18"/>
        </w:rPr>
        <w:t xml:space="preserve"/>
      </w:r>
    </w:p>
    <w:p>
      <w:pPr>
        <w:pStyle w:val="Code"/>
      </w:pPr>
      <w:r>
        <w:rPr>
          <w:rFonts w:ascii="Courier New" w:hAnsi="Courier New"/>
          <w:sz w:val="18"/>
        </w:rPr>
        <w:t xml:space="preserve">Categories of personal data affected:</w:t>
      </w:r>
    </w:p>
    <w:p>
      <w:pPr>
        <w:pStyle w:val="Code"/>
      </w:pPr>
      <w:r>
        <w:rPr>
          <w:rFonts w:ascii="Courier New" w:hAnsi="Courier New"/>
          <w:sz w:val="18"/>
        </w:rPr>
        <w:t xml:space="preserve">  [ ] Names               [ ] Email addresses</w:t>
      </w:r>
    </w:p>
    <w:p>
      <w:pPr>
        <w:pStyle w:val="Code"/>
      </w:pPr>
      <w:r>
        <w:rPr>
          <w:rFonts w:ascii="Courier New" w:hAnsi="Courier New"/>
          <w:sz w:val="18"/>
        </w:rPr>
        <w:t xml:space="preserve">  [ ] Phone numbers       [ ] Physical addresses</w:t>
      </w:r>
    </w:p>
    <w:p>
      <w:pPr>
        <w:pStyle w:val="Code"/>
      </w:pPr>
      <w:r>
        <w:rPr>
          <w:rFonts w:ascii="Courier New" w:hAnsi="Courier New"/>
          <w:sz w:val="18"/>
        </w:rPr>
        <w:t xml:space="preserve">  [ ] Financial data      [ ] Health data</w:t>
      </w:r>
    </w:p>
    <w:p>
      <w:pPr>
        <w:pStyle w:val="Code"/>
      </w:pPr>
      <w:r>
        <w:rPr>
          <w:rFonts w:ascii="Courier New" w:hAnsi="Courier New"/>
          <w:sz w:val="18"/>
        </w:rPr>
        <w:t xml:space="preserve">  [ ] Authentication data [ ] Other: ___________</w:t>
      </w:r>
    </w:p>
    <w:p>
      <w:pPr>
        <w:pStyle w:val="Code"/>
      </w:pPr>
      <w:r>
        <w:rPr>
          <w:rFonts w:ascii="Courier New" w:hAnsi="Courier New"/>
          <w:sz w:val="18"/>
        </w:rPr>
        <w:t xml:space="preserve"/>
      </w:r>
    </w:p>
    <w:p>
      <w:pPr>
        <w:pStyle w:val="Code"/>
      </w:pPr>
      <w:r>
        <w:rPr>
          <w:rFonts w:ascii="Courier New" w:hAnsi="Courier New"/>
          <w:sz w:val="18"/>
        </w:rPr>
        <w:t xml:space="preserve">Approximate number of data subjects affected: [NUMBER]</w:t>
      </w:r>
    </w:p>
    <w:p>
      <w:pPr>
        <w:pStyle w:val="Code"/>
      </w:pPr>
      <w:r>
        <w:rPr>
          <w:rFonts w:ascii="Courier New" w:hAnsi="Courier New"/>
          <w:sz w:val="18"/>
        </w:rPr>
        <w:t xml:space="preserve">Approximate number of records affected: [NUMBER]</w:t>
      </w:r>
    </w:p>
    <w:p>
      <w:pPr>
        <w:pStyle w:val="Code"/>
      </w:pPr>
      <w:r>
        <w:rPr>
          <w:rFonts w:ascii="Courier New" w:hAnsi="Courier New"/>
          <w:sz w:val="18"/>
        </w:rPr>
        <w:t xml:space="preserve"/>
      </w:r>
    </w:p>
    <w:p>
      <w:pPr>
        <w:pStyle w:val="Code"/>
      </w:pPr>
      <w:r>
        <w:rPr>
          <w:rFonts w:ascii="Courier New" w:hAnsi="Courier New"/>
          <w:sz w:val="18"/>
        </w:rPr>
        <w:t xml:space="preserve">Description of likely consequences:</w:t>
      </w:r>
    </w:p>
    <w:p>
      <w:pPr>
        <w:pStyle w:val="Code"/>
      </w:pPr>
      <w:r>
        <w:rPr>
          <w:rFonts w:ascii="Courier New" w:hAnsi="Courier New"/>
          <w:sz w:val="18"/>
        </w:rPr>
        <w:t xml:space="preserve">[DESCRIBE POTENTIAL IMPACT ON DATA SUBJECTS]</w:t>
      </w:r>
    </w:p>
    <w:p>
      <w:pPr>
        <w:pStyle w:val="Code"/>
      </w:pPr>
      <w:r>
        <w:rPr>
          <w:rFonts w:ascii="Courier New" w:hAnsi="Courier New"/>
          <w:sz w:val="18"/>
        </w:rPr>
        <w:t xml:space="preserve"/>
      </w:r>
    </w:p>
    <w:p>
      <w:pPr>
        <w:pStyle w:val="Code"/>
      </w:pPr>
      <w:r>
        <w:rPr>
          <w:rFonts w:ascii="Courier New" w:hAnsi="Courier New"/>
          <w:sz w:val="18"/>
        </w:rPr>
        <w:t xml:space="preserve">Measures taken or proposed to address the breach:</w:t>
      </w:r>
    </w:p>
    <w:p>
      <w:pPr>
        <w:pStyle w:val="Code"/>
      </w:pPr>
      <w:r>
        <w:rPr>
          <w:rFonts w:ascii="Courier New" w:hAnsi="Courier New"/>
          <w:sz w:val="18"/>
        </w:rPr>
        <w:t xml:space="preserve">[DESCRIBE CONTAINMENT AND REMEDIATION STEPS]</w:t>
      </w:r>
    </w:p>
    <w:p>
      <w:pPr>
        <w:pStyle w:val="Code"/>
      </w:pPr>
      <w:r>
        <w:rPr>
          <w:rFonts w:ascii="Courier New" w:hAnsi="Courier New"/>
          <w:sz w:val="18"/>
        </w:rPr>
        <w:t xml:space="preserve"/>
      </w:r>
    </w:p>
    <w:p>
      <w:pPr>
        <w:pStyle w:val="Code"/>
      </w:pPr>
      <w:r>
        <w:rPr>
          <w:rFonts w:ascii="Courier New" w:hAnsi="Courier New"/>
          <w:sz w:val="18"/>
        </w:rPr>
        <w:t xml:space="preserve">Measures taken to mitigate adverse effects:</w:t>
      </w:r>
    </w:p>
    <w:p>
      <w:pPr>
        <w:pStyle w:val="Code"/>
      </w:pPr>
      <w:r>
        <w:rPr>
          <w:rFonts w:ascii="Courier New" w:hAnsi="Courier New"/>
          <w:sz w:val="18"/>
        </w:rPr>
        <w:t xml:space="preserve">[DESCRIBE MITIGATION ACTIONS]</w:t>
      </w:r>
    </w:p>
    <w:p>
      <w:pPr>
        <w:pStyle w:val="Heading2"/>
      </w:pPr>
      <w:r>
        <w:t>5. User Notification Template</w:t>
      </w:r>
    </w:p>
    <w:p>
      <w:r>
        <w:t xml:space="preserve">When a breach is likely to result in a high risk to the rights and freedoms of individuals (GDPR Article 34), affected users must be notified directly. Use the following template:</w:t>
      </w:r>
    </w:p>
    <w:p>
      <w:pPr>
        <w:pStyle w:val="Code"/>
      </w:pPr>
      <w:r>
        <w:rPr>
          <w:rFonts w:ascii="Courier New" w:hAnsi="Courier New"/>
          <w:sz w:val="18"/>
        </w:rPr>
        <w:t xml:space="preserve">Subject: Important Security Notice from Acme Inc</w:t>
      </w:r>
    </w:p>
    <w:p>
      <w:pPr>
        <w:pStyle w:val="Code"/>
      </w:pPr>
      <w:r>
        <w:rPr>
          <w:rFonts w:ascii="Courier New" w:hAnsi="Courier New"/>
          <w:sz w:val="18"/>
        </w:rPr>
        <w:t xml:space="preserve"/>
      </w:r>
    </w:p>
    <w:p>
      <w:pPr>
        <w:pStyle w:val="Code"/>
      </w:pPr>
      <w:r>
        <w:rPr>
          <w:rFonts w:ascii="Courier New" w:hAnsi="Courier New"/>
          <w:sz w:val="18"/>
        </w:rPr>
        <w:t xml:space="preserve">Dear [User Name],</w:t>
      </w:r>
    </w:p>
    <w:p>
      <w:pPr>
        <w:pStyle w:val="Code"/>
      </w:pPr>
      <w:r>
        <w:rPr>
          <w:rFonts w:ascii="Courier New" w:hAnsi="Courier New"/>
          <w:sz w:val="18"/>
        </w:rPr>
        <w:t xml:space="preserve"/>
      </w:r>
    </w:p>
    <w:p>
      <w:pPr>
        <w:pStyle w:val="Code"/>
      </w:pPr>
      <w:r>
        <w:rPr>
          <w:rFonts w:ascii="Courier New" w:hAnsi="Courier New"/>
          <w:sz w:val="18"/>
        </w:rPr>
        <w:t xml:space="preserve">We are writing to inform you of a security incident at Acme Inc that may have affected your personal data.</w:t>
      </w:r>
    </w:p>
    <w:p>
      <w:pPr>
        <w:pStyle w:val="Code"/>
      </w:pPr>
      <w:r>
        <w:rPr>
          <w:rFonts w:ascii="Courier New" w:hAnsi="Courier New"/>
          <w:sz w:val="18"/>
        </w:rPr>
        <w:t xml:space="preserve"/>
      </w:r>
    </w:p>
    <w:p>
      <w:pPr>
        <w:pStyle w:val="Code"/>
      </w:pPr>
      <w:r>
        <w:rPr>
          <w:rFonts w:ascii="Courier New" w:hAnsi="Courier New"/>
          <w:sz w:val="18"/>
        </w:rPr>
        <w:t xml:space="preserve">WHAT HAPPENED:</w:t>
      </w:r>
    </w:p>
    <w:p>
      <w:pPr>
        <w:pStyle w:val="Code"/>
      </w:pPr>
      <w:r>
        <w:rPr>
          <w:rFonts w:ascii="Courier New" w:hAnsi="Courier New"/>
          <w:sz w:val="18"/>
        </w:rPr>
        <w:t xml:space="preserve">[Brief, clear description of the incident]</w:t>
      </w:r>
    </w:p>
    <w:p>
      <w:pPr>
        <w:pStyle w:val="Code"/>
      </w:pPr>
      <w:r>
        <w:rPr>
          <w:rFonts w:ascii="Courier New" w:hAnsi="Courier New"/>
          <w:sz w:val="18"/>
        </w:rPr>
        <w:t xml:space="preserve"/>
      </w:r>
    </w:p>
    <w:p>
      <w:pPr>
        <w:pStyle w:val="Code"/>
      </w:pPr>
      <w:r>
        <w:rPr>
          <w:rFonts w:ascii="Courier New" w:hAnsi="Courier New"/>
          <w:sz w:val="18"/>
        </w:rPr>
        <w:t xml:space="preserve">WHAT DATA WAS AFFECTED:</w:t>
      </w:r>
    </w:p>
    <w:p>
      <w:pPr>
        <w:pStyle w:val="Code"/>
      </w:pPr>
      <w:r>
        <w:rPr>
          <w:rFonts w:ascii="Courier New" w:hAnsi="Courier New"/>
          <w:sz w:val="18"/>
        </w:rPr>
        <w:t xml:space="preserve">[List the specific types of personal data involved]</w:t>
      </w:r>
    </w:p>
    <w:p>
      <w:pPr>
        <w:pStyle w:val="Code"/>
      </w:pPr>
      <w:r>
        <w:rPr>
          <w:rFonts w:ascii="Courier New" w:hAnsi="Courier New"/>
          <w:sz w:val="18"/>
        </w:rPr>
        <w:t xml:space="preserve"/>
      </w:r>
    </w:p>
    <w:p>
      <w:pPr>
        <w:pStyle w:val="Code"/>
      </w:pPr>
      <w:r>
        <w:rPr>
          <w:rFonts w:ascii="Courier New" w:hAnsi="Courier New"/>
          <w:sz w:val="18"/>
        </w:rPr>
        <w:t xml:space="preserve">WHAT WE ARE DOING:</w:t>
      </w:r>
    </w:p>
    <w:p>
      <w:pPr>
        <w:pStyle w:val="Code"/>
      </w:pPr>
      <w:r>
        <w:rPr>
          <w:rFonts w:ascii="Courier New" w:hAnsi="Courier New"/>
          <w:sz w:val="18"/>
        </w:rPr>
        <w:t xml:space="preserve">[Describe the steps taken to contain and remediate the breach]</w:t>
      </w:r>
    </w:p>
    <w:p>
      <w:pPr>
        <w:pStyle w:val="Code"/>
      </w:pPr>
      <w:r>
        <w:rPr>
          <w:rFonts w:ascii="Courier New" w:hAnsi="Courier New"/>
          <w:sz w:val="18"/>
        </w:rPr>
        <w:t xml:space="preserve"/>
      </w:r>
    </w:p>
    <w:p>
      <w:pPr>
        <w:pStyle w:val="Code"/>
      </w:pPr>
      <w:r>
        <w:rPr>
          <w:rFonts w:ascii="Courier New" w:hAnsi="Courier New"/>
          <w:sz w:val="18"/>
        </w:rPr>
        <w:t xml:space="preserve">WHAT YOU CAN DO:</w:t>
      </w:r>
    </w:p>
    <w:p>
      <w:pPr>
        <w:pStyle w:val="Code"/>
      </w:pPr>
      <w:r>
        <w:rPr>
          <w:rFonts w:ascii="Courier New" w:hAnsi="Courier New"/>
          <w:sz w:val="18"/>
        </w:rPr>
        <w:t xml:space="preserve">- Change your password immediately</w:t>
      </w:r>
    </w:p>
    <w:p>
      <w:pPr>
        <w:pStyle w:val="Code"/>
      </w:pPr>
      <w:r>
        <w:rPr>
          <w:rFonts w:ascii="Courier New" w:hAnsi="Courier New"/>
          <w:sz w:val="18"/>
        </w:rPr>
        <w:t xml:space="preserve">- Enable two-factor authentication if not already active</w:t>
      </w:r>
    </w:p>
    <w:p>
      <w:pPr>
        <w:pStyle w:val="Code"/>
      </w:pPr>
      <w:r>
        <w:rPr>
          <w:rFonts w:ascii="Courier New" w:hAnsi="Courier New"/>
          <w:sz w:val="18"/>
        </w:rPr>
        <w:t xml:space="preserve">- Monitor your accounts for suspicious activity</w:t>
      </w:r>
    </w:p>
    <w:p>
      <w:pPr>
        <w:pStyle w:val="Code"/>
      </w:pPr>
      <w:r>
        <w:rPr>
          <w:rFonts w:ascii="Courier New" w:hAnsi="Courier New"/>
          <w:sz w:val="18"/>
        </w:rPr>
        <w:t xml:space="preserve">- [Additional specific recommendations]</w:t>
      </w:r>
    </w:p>
    <w:p>
      <w:pPr>
        <w:pStyle w:val="Code"/>
      </w:pPr>
      <w:r>
        <w:rPr>
          <w:rFonts w:ascii="Courier New" w:hAnsi="Courier New"/>
          <w:sz w:val="18"/>
        </w:rPr>
        <w:t xml:space="preserve"/>
      </w:r>
    </w:p>
    <w:p>
      <w:pPr>
        <w:pStyle w:val="Code"/>
      </w:pPr>
      <w:r>
        <w:rPr>
          <w:rFonts w:ascii="Courier New" w:hAnsi="Courier New"/>
          <w:sz w:val="18"/>
        </w:rPr>
        <w:t xml:space="preserve">CONTACT US:</w:t>
      </w:r>
    </w:p>
    <w:p>
      <w:pPr>
        <w:pStyle w:val="Code"/>
      </w:pPr>
      <w:r>
        <w:rPr>
          <w:rFonts w:ascii="Courier New" w:hAnsi="Courier New"/>
          <w:sz w:val="18"/>
        </w:rPr>
        <w:t xml:space="preserve">If you have questions, please contact us at legal@acme.com.</w:t>
      </w:r>
    </w:p>
    <w:p>
      <w:pPr>
        <w:pStyle w:val="Code"/>
      </w:pPr>
      <w:r>
        <w:rPr>
          <w:rFonts w:ascii="Courier New" w:hAnsi="Courier New"/>
          <w:sz w:val="18"/>
        </w:rPr>
        <w:t xml:space="preserve"/>
      </w:r>
    </w:p>
    <w:p>
      <w:pPr>
        <w:pStyle w:val="Code"/>
      </w:pPr>
      <w:r>
        <w:rPr>
          <w:rFonts w:ascii="Courier New" w:hAnsi="Courier New"/>
          <w:sz w:val="18"/>
        </w:rPr>
        <w:t xml:space="preserve">We sincerely apologize for this incident and are taking all necessary</w:t>
      </w:r>
    </w:p>
    <w:p>
      <w:pPr>
        <w:pStyle w:val="Code"/>
      </w:pPr>
      <w:r>
        <w:rPr>
          <w:rFonts w:ascii="Courier New" w:hAnsi="Courier New"/>
          <w:sz w:val="18"/>
        </w:rPr>
        <w:t xml:space="preserve">steps to prevent a recurrence.</w:t>
      </w:r>
    </w:p>
    <w:p>
      <w:pPr>
        <w:pStyle w:val="Code"/>
      </w:pPr>
      <w:r>
        <w:rPr>
          <w:rFonts w:ascii="Courier New" w:hAnsi="Courier New"/>
          <w:sz w:val="18"/>
        </w:rPr>
        <w:t xml:space="preserve"/>
      </w:r>
    </w:p>
    <w:p>
      <w:pPr>
        <w:pStyle w:val="Code"/>
      </w:pPr>
      <w:r>
        <w:rPr>
          <w:rFonts w:ascii="Courier New" w:hAnsi="Courier New"/>
          <w:sz w:val="18"/>
        </w:rPr>
        <w:t xml:space="preserve">Sincerely,</w:t>
      </w:r>
    </w:p>
    <w:p>
      <w:pPr>
        <w:pStyle w:val="Code"/>
      </w:pPr>
      <w:r>
        <w:rPr>
          <w:rFonts w:ascii="Courier New" w:hAnsi="Courier New"/>
          <w:sz w:val="18"/>
        </w:rPr>
        <w:t xml:space="preserve">Acme Inc</w:t>
      </w:r>
    </w:p>
    <w:p>
      <w:pPr>
        <w:pStyle w:val="Heading2"/>
      </w:pPr>
      <w:r>
        <w:t>6. Investigation Procedures</w:t>
      </w:r>
    </w:p>
    <w:p>
      <w:r>
        <w:t xml:space="preserve">Upon confirmation of a security incident, the incident response team must:</w:t>
      </w:r>
    </w:p>
    <w:p>
      <w:pPr>
        <w:pStyle w:val="Heading3"/>
      </w:pPr>
      <w:r>
        <w:t>6.1 Containment</w:t>
      </w:r>
    </w:p>
    <w:p>
      <w:pPr>
        <w:pStyle w:val="ListParagraph"/>
        <w:numPr>
          <w:ilvl w:val="0"/>
          <w:numId w:val="1"/>
        </w:numPr>
      </w:pPr>
      <w:r>
        <w:t xml:space="preserve">[ ] Isolate affected systems from the network</w:t>
      </w:r>
    </w:p>
    <w:p>
      <w:pPr>
        <w:pStyle w:val="ListParagraph"/>
        <w:numPr>
          <w:ilvl w:val="0"/>
          <w:numId w:val="1"/>
        </w:numPr>
      </w:pPr>
      <w:r>
        <w:t xml:space="preserve">[ ] Revoke compromised credentials and API keys</w:t>
      </w:r>
    </w:p>
    <w:p>
      <w:pPr>
        <w:pStyle w:val="ListParagraph"/>
        <w:numPr>
          <w:ilvl w:val="0"/>
          <w:numId w:val="1"/>
        </w:numPr>
      </w:pPr>
      <w:r>
        <w:t xml:space="preserve">[ ] Block malicious IP addresses or accounts</w:t>
      </w:r>
    </w:p>
    <w:p>
      <w:pPr>
        <w:pStyle w:val="ListParagraph"/>
        <w:numPr>
          <w:ilvl w:val="0"/>
          <w:numId w:val="1"/>
        </w:numPr>
      </w:pPr>
      <w:r>
        <w:t xml:space="preserve">[ ] Preserve forensic evidence (logs, snapshots, memory dumps)</w:t>
      </w:r>
    </w:p>
    <w:p>
      <w:pPr>
        <w:pStyle w:val="ListParagraph"/>
        <w:numPr>
          <w:ilvl w:val="0"/>
          <w:numId w:val="1"/>
        </w:numPr>
      </w:pPr>
      <w:r>
        <w:t xml:space="preserve">[ ] Activate backup communication channels if primary channels are compromised</w:t>
      </w:r>
    </w:p>
    <w:p>
      <w:pPr>
        <w:pStyle w:val="Heading3"/>
      </w:pPr>
      <w:r>
        <w:t>6.2 Investigation</w:t>
      </w:r>
    </w:p>
    <w:p>
      <w:pPr>
        <w:pStyle w:val="ListParagraph"/>
        <w:numPr>
          <w:ilvl w:val="0"/>
          <w:numId w:val="1"/>
        </w:numPr>
      </w:pPr>
      <w:r>
        <w:t xml:space="preserve">[ ] Determine the root cause of the incident</w:t>
      </w:r>
    </w:p>
    <w:p>
      <w:pPr>
        <w:pStyle w:val="ListParagraph"/>
        <w:numPr>
          <w:ilvl w:val="0"/>
          <w:numId w:val="1"/>
        </w:numPr>
      </w:pPr>
      <w:r>
        <w:t xml:space="preserve">[ ] Identify all affected systems, services, and data</w:t>
      </w:r>
    </w:p>
    <w:p>
      <w:pPr>
        <w:pStyle w:val="ListParagraph"/>
        <w:numPr>
          <w:ilvl w:val="0"/>
          <w:numId w:val="1"/>
        </w:numPr>
      </w:pPr>
      <w:r>
        <w:t xml:space="preserve">[ ] Determine the scope of data exposure</w:t>
      </w:r>
    </w:p>
    <w:p>
      <w:pPr>
        <w:pStyle w:val="ListParagraph"/>
        <w:numPr>
          <w:ilvl w:val="0"/>
          <w:numId w:val="1"/>
        </w:numPr>
      </w:pPr>
      <w:r>
        <w:t xml:space="preserve">[ ] Review access logs and audit trails</w:t>
      </w:r>
    </w:p>
    <w:p>
      <w:pPr>
        <w:pStyle w:val="ListParagraph"/>
        <w:numPr>
          <w:ilvl w:val="0"/>
          <w:numId w:val="1"/>
        </w:numPr>
      </w:pPr>
      <w:r>
        <w:t xml:space="preserve">[ ] Interview relevant personnel</w:t>
      </w:r>
    </w:p>
    <w:p>
      <w:pPr>
        <w:pStyle w:val="ListParagraph"/>
        <w:numPr>
          <w:ilvl w:val="0"/>
          <w:numId w:val="1"/>
        </w:numPr>
      </w:pPr>
      <w:r>
        <w:t xml:space="preserve">[ ] Document timeline of events</w:t>
      </w:r>
    </w:p>
    <w:p>
      <w:pPr>
        <w:pStyle w:val="ListParagraph"/>
        <w:numPr>
          <w:ilvl w:val="0"/>
          <w:numId w:val="1"/>
        </w:numPr>
      </w:pPr>
      <w:r>
        <w:t xml:space="preserve">[ ] Engage external forensic specialists if needed</w:t>
      </w:r>
    </w:p>
    <w:p>
      <w:pPr>
        <w:pStyle w:val="Heading2"/>
      </w:pPr>
      <w:r>
        <w:t>7. Remediation Steps</w:t>
      </w:r>
    </w:p>
    <w:p>
      <w:pPr>
        <w:pStyle w:val="ListParagraph"/>
        <w:numPr>
          <w:ilvl w:val="0"/>
          <w:numId w:val="1"/>
        </w:numPr>
      </w:pPr>
      <w:r>
        <w:t xml:space="preserve">[ ] Patch or fix the vulnerability that led to the incident</w:t>
      </w:r>
    </w:p>
    <w:p>
      <w:pPr>
        <w:pStyle w:val="ListParagraph"/>
        <w:numPr>
          <w:ilvl w:val="0"/>
          <w:numId w:val="1"/>
        </w:numPr>
      </w:pPr>
      <w:r>
        <w:t xml:space="preserve">[ ] Rotate all potentially compromised secrets, keys, and tokens</w:t>
      </w:r>
    </w:p>
    <w:p>
      <w:pPr>
        <w:pStyle w:val="ListParagraph"/>
        <w:numPr>
          <w:ilvl w:val="0"/>
          <w:numId w:val="1"/>
        </w:numPr>
      </w:pPr>
      <w:r>
        <w:t xml:space="preserve">[ ] Force password resets for affected user accounts</w:t>
      </w:r>
    </w:p>
    <w:p>
      <w:pPr>
        <w:pStyle w:val="ListParagraph"/>
        <w:numPr>
          <w:ilvl w:val="0"/>
          <w:numId w:val="1"/>
        </w:numPr>
      </w:pPr>
      <w:r>
        <w:t xml:space="preserve">[ ] Update firewall rules and access controls</w:t>
      </w:r>
    </w:p>
    <w:p>
      <w:pPr>
        <w:pStyle w:val="ListParagraph"/>
        <w:numPr>
          <w:ilvl w:val="0"/>
          <w:numId w:val="1"/>
        </w:numPr>
      </w:pPr>
      <w:r>
        <w:t xml:space="preserve">[ ] Deploy additional monitoring on affected systems</w:t>
      </w:r>
    </w:p>
    <w:p>
      <w:pPr>
        <w:pStyle w:val="ListParagraph"/>
        <w:numPr>
          <w:ilvl w:val="0"/>
          <w:numId w:val="1"/>
        </w:numPr>
      </w:pPr>
      <w:r>
        <w:t xml:space="preserve">[ ] Verify that the attack vector is fully closed</w:t>
      </w:r>
    </w:p>
    <w:p>
      <w:pPr>
        <w:pStyle w:val="ListParagraph"/>
        <w:numPr>
          <w:ilvl w:val="0"/>
          <w:numId w:val="1"/>
        </w:numPr>
      </w:pPr>
      <w:r>
        <w:t xml:space="preserve">[ ] Conduct a follow-up scan to confirm no persistence mechanisms remain</w:t>
      </w:r>
    </w:p>
    <w:p>
      <w:pPr>
        <w:pStyle w:val="ListParagraph"/>
        <w:numPr>
          <w:ilvl w:val="0"/>
          <w:numId w:val="1"/>
        </w:numPr>
      </w:pPr>
      <w:r>
        <w:t xml:space="preserve">[ ] Update security documentation and runbooks</w:t>
      </w:r>
    </w:p>
    <w:p>
      <w:pPr>
        <w:pStyle w:val="Heading2"/>
      </w:pPr>
      <w:r>
        <w:t>8. Post-Incident Review</w:t>
      </w:r>
    </w:p>
    <w:p>
      <w:r>
        <w:t xml:space="preserve">A post-incident review (blameless post-mortem) must be conducted within 5 business days of incident resolution.</w:t>
      </w:r>
    </w:p>
    <w:p>
      <w:pPr>
        <w:pStyle w:val="Heading3"/>
      </w:pPr>
      <w:r>
        <w:t>Review Agenda</w:t>
      </w:r>
    </w:p>
    <w:p>
      <w:pPr>
        <w:pStyle w:val="ListParagraph"/>
        <w:numPr>
          <w:ilvl w:val="0"/>
          <w:numId w:val="2"/>
        </w:numPr>
      </w:pPr>
      <w:r>
        <w:t xml:space="preserve">**Timeline reconstruction** — What happened, and when?</w:t>
      </w:r>
    </w:p>
    <w:p>
      <w:pPr>
        <w:pStyle w:val="ListParagraph"/>
        <w:numPr>
          <w:ilvl w:val="0"/>
          <w:numId w:val="2"/>
        </w:numPr>
      </w:pPr>
      <w:r>
        <w:t xml:space="preserve">**Root cause analysis** — Why did it happen?</w:t>
      </w:r>
    </w:p>
    <w:p>
      <w:pPr>
        <w:pStyle w:val="ListParagraph"/>
        <w:numPr>
          <w:ilvl w:val="0"/>
          <w:numId w:val="2"/>
        </w:numPr>
      </w:pPr>
      <w:r>
        <w:t xml:space="preserve">**Detection assessment** — How was the incident detected? Could it have been detected sooner?</w:t>
      </w:r>
    </w:p>
    <w:p>
      <w:pPr>
        <w:pStyle w:val="ListParagraph"/>
        <w:numPr>
          <w:ilvl w:val="0"/>
          <w:numId w:val="2"/>
        </w:numPr>
      </w:pPr>
      <w:r>
        <w:t xml:space="preserve">**Response evaluation** — Was the response effective? What worked well?</w:t>
      </w:r>
    </w:p>
    <w:p>
      <w:pPr>
        <w:pStyle w:val="ListParagraph"/>
        <w:numPr>
          <w:ilvl w:val="0"/>
          <w:numId w:val="2"/>
        </w:numPr>
      </w:pPr>
      <w:r>
        <w:t xml:space="preserve">**Gap identification** — What controls, processes, or tools were missing?</w:t>
      </w:r>
    </w:p>
    <w:p>
      <w:pPr>
        <w:pStyle w:val="ListParagraph"/>
        <w:numPr>
          <w:ilvl w:val="0"/>
          <w:numId w:val="2"/>
        </w:numPr>
      </w:pPr>
      <w:r>
        <w:t xml:space="preserve">**Action items** — Concrete tasks with owners and deadlines to prevent recurrence</w:t>
      </w:r>
    </w:p>
    <w:p>
      <w:pPr>
        <w:pStyle w:val="Heading3"/>
      </w:pPr>
      <w:r>
        <w:t>Documentation</w:t>
      </w:r>
    </w:p>
    <w:p>
      <w:r>
        <w:t xml:space="preserve">The post-incident report must include:</w:t>
      </w:r>
    </w:p>
    <w:p>
      <w:pPr>
        <w:pStyle w:val="ListParagraph"/>
        <w:numPr>
          <w:ilvl w:val="0"/>
          <w:numId w:val="1"/>
        </w:numPr>
      </w:pPr>
      <w:r>
        <w:t xml:space="preserve">Incident summary and severity classification</w:t>
      </w:r>
    </w:p>
    <w:p>
      <w:pPr>
        <w:pStyle w:val="ListParagraph"/>
        <w:numPr>
          <w:ilvl w:val="0"/>
          <w:numId w:val="1"/>
        </w:numPr>
      </w:pPr>
      <w:r>
        <w:t xml:space="preserve">Complete timeline of events</w:t>
      </w:r>
    </w:p>
    <w:p>
      <w:pPr>
        <w:pStyle w:val="ListParagraph"/>
        <w:numPr>
          <w:ilvl w:val="0"/>
          <w:numId w:val="1"/>
        </w:numPr>
      </w:pPr>
      <w:r>
        <w:t xml:space="preserve">Root cause and contributing factors</w:t>
      </w:r>
    </w:p>
    <w:p>
      <w:pPr>
        <w:pStyle w:val="ListParagraph"/>
        <w:numPr>
          <w:ilvl w:val="0"/>
          <w:numId w:val="1"/>
        </w:numPr>
      </w:pPr>
      <w:r>
        <w:t xml:space="preserve">Data impact assessment</w:t>
      </w:r>
    </w:p>
    <w:p>
      <w:pPr>
        <w:pStyle w:val="ListParagraph"/>
        <w:numPr>
          <w:ilvl w:val="0"/>
          <w:numId w:val="1"/>
        </w:numPr>
      </w:pPr>
      <w:r>
        <w:t xml:space="preserve">Remediation actions taken</w:t>
      </w:r>
    </w:p>
    <w:p>
      <w:pPr>
        <w:pStyle w:val="ListParagraph"/>
        <w:numPr>
          <w:ilvl w:val="0"/>
          <w:numId w:val="1"/>
        </w:numPr>
      </w:pPr>
      <w:r>
        <w:t xml:space="preserve">Lessons learned</w:t>
      </w:r>
    </w:p>
    <w:p>
      <w:pPr>
        <w:pStyle w:val="ListParagraph"/>
        <w:numPr>
          <w:ilvl w:val="0"/>
          <w:numId w:val="1"/>
        </w:numPr>
      </w:pPr>
      <w:r>
        <w:t xml:space="preserve">Preventive action items with owners and due dates</w:t>
      </w:r>
    </w:p>
    <w:p>
      <w:pPr>
        <w:pStyle w:val="Heading2"/>
      </w:pPr>
      <w:r>
        <w:t>9. Contact List</w:t>
      </w:r>
    </w:p>
    <w:p>
      <w:r>
        <w:rPr>
          <w:sz w:val="20"/>
        </w:rPr>
        <w:t xml:space="preserve">Role  |  Name  |  Email  |  Responsibility</w:t>
      </w:r>
    </w:p>
    <w:p>
      <w:r>
        <w:rPr>
          <w:sz w:val="20"/>
        </w:rPr>
        <w:t xml:space="preserve">Incident Response Lead  |  [Name]  |  [legal@acme.com](mailto:legal@acme.com)  |  Overall incident coordination</w:t>
      </w:r>
    </w:p>
    <w:p>
      <w:r>
        <w:rPr>
          <w:sz w:val="20"/>
        </w:rPr>
        <w:t xml:space="preserve">Data Protection Officer  |  Jane Mueller  |  [dpo@acme-saas.com](mailto:dpo@acme-saas.com)  |  GDPR compliance, authority notification</w:t>
      </w:r>
    </w:p>
    <w:p>
      <w:r>
        <w:rPr>
          <w:sz w:val="20"/>
        </w:rPr>
        <w:t xml:space="preserve">Engineering Lead  |  [Name]  |  [email]  |  Technical investigation and remediation</w:t>
      </w:r>
    </w:p>
    <w:p>
      <w:r>
        <w:rPr>
          <w:sz w:val="20"/>
        </w:rPr>
        <w:t xml:space="preserve">Legal Counsel  |  [Name]  |  [email]  |  Legal obligations, regulatory response</w:t>
      </w:r>
    </w:p>
    <w:p>
      <w:r>
        <w:rPr>
          <w:sz w:val="20"/>
        </w:rPr>
        <w:t xml:space="preserve">Communications Lead  |  [Name]  |  [email]  |  User notification, public communications</w:t>
      </w:r>
    </w:p>
    <w:p>
      <w:r>
        <w:rPr>
          <w:sz w:val="20"/>
        </w:rPr>
        <w:t xml:space="preserve">Executive Sponsor  |  [Name]  |  [email]  |  Final decision authority</w:t>
      </w:r>
    </w:p>
    <w:p>
      <w:pPr>
        <w:pStyle w:val="Heading2"/>
      </w:pPr>
      <w:r>
        <w:t>10. AI Incident Handling</w:t>
      </w:r>
    </w:p>
    <w:p>
      <w:r>
        <w:t xml:space="preserve">This project integrates with AI services. The following additional procedures apply to AI-related incidents.</w:t>
      </w:r>
    </w:p>
    <w:p>
      <w:pPr>
        <w:pStyle w:val="Heading3"/>
      </w:pPr>
      <w:r>
        <w:t>AI-Specific Incident Types</w:t>
      </w:r>
    </w:p>
    <w:p>
      <w:r>
        <w:rPr>
          <w:sz w:val="20"/>
        </w:rPr>
        <w:t xml:space="preserve">Incident Type  |  Description  |  Severity</w:t>
      </w:r>
    </w:p>
    <w:p>
      <w:r>
        <w:rPr>
          <w:sz w:val="20"/>
        </w:rPr>
        <w:t xml:space="preserve">**Data leak via AI**  |  User data or sensitive information exposed through AI model inputs/outputs  |  Critical (P1)</w:t>
      </w:r>
    </w:p>
    <w:p>
      <w:r>
        <w:rPr>
          <w:sz w:val="20"/>
        </w:rPr>
        <w:t xml:space="preserve">**Prompt injection**  |  Malicious prompts bypass safety controls to extract data or alter behavior  |  High (P2)</w:t>
      </w:r>
    </w:p>
    <w:p>
      <w:r>
        <w:rPr>
          <w:sz w:val="20"/>
        </w:rPr>
        <w:t xml:space="preserve">**Bias incident**  |  AI produces discriminatory, harmful, or biased outputs at scale  |  High (P2)</w:t>
      </w:r>
    </w:p>
    <w:p>
      <w:r>
        <w:rPr>
          <w:sz w:val="20"/>
        </w:rPr>
        <w:t xml:space="preserve">**Hallucination impact**  |  AI generates false information that causes user harm or legal liability  |  Medium–High</w:t>
      </w:r>
    </w:p>
    <w:p>
      <w:r>
        <w:rPr>
          <w:sz w:val="20"/>
        </w:rPr>
        <w:t xml:space="preserve">**Model manipulation**  |  Adversarial inputs cause the AI to produce unauthorized outputs  |  High (P2)</w:t>
      </w:r>
    </w:p>
    <w:p>
      <w:pPr>
        <w:pStyle w:val="Heading3"/>
      </w:pPr>
      <w:r>
        <w:t>AI Incident Response Steps</w:t>
      </w:r>
    </w:p>
    <w:p>
      <w:pPr>
        <w:pStyle w:val="ListParagraph"/>
        <w:numPr>
          <w:ilvl w:val="0"/>
          <w:numId w:val="2"/>
        </w:numPr>
      </w:pPr>
      <w:r>
        <w:t xml:space="preserve">**Contain** — Disable or throttle the affected AI feature immediately</w:t>
      </w:r>
    </w:p>
    <w:p>
      <w:pPr>
        <w:pStyle w:val="ListParagraph"/>
        <w:numPr>
          <w:ilvl w:val="0"/>
          <w:numId w:val="2"/>
        </w:numPr>
      </w:pPr>
      <w:r>
        <w:t xml:space="preserve">**Assess data exposure** — Determine if user data was leaked to or through the AI service</w:t>
      </w:r>
    </w:p>
    <w:p>
      <w:pPr>
        <w:pStyle w:val="ListParagraph"/>
        <w:numPr>
          <w:ilvl w:val="0"/>
          <w:numId w:val="2"/>
        </w:numPr>
      </w:pPr>
      <w:r>
        <w:t xml:space="preserve">**Review AI provider logs** — Request audit logs from the AI service provider</w:t>
      </w:r>
    </w:p>
    <w:p>
      <w:pPr>
        <w:pStyle w:val="ListParagraph"/>
        <w:numPr>
          <w:ilvl w:val="0"/>
          <w:numId w:val="2"/>
        </w:numPr>
      </w:pPr>
      <w:r>
        <w:t xml:space="preserve">**Evaluate downstream impact** — Assess whether AI outputs were stored, shared, or acted upon</w:t>
      </w:r>
    </w:p>
    <w:p>
      <w:pPr>
        <w:pStyle w:val="ListParagraph"/>
        <w:numPr>
          <w:ilvl w:val="0"/>
          <w:numId w:val="2"/>
        </w:numPr>
      </w:pPr>
      <w:r>
        <w:t xml:space="preserve">**Notify AI provider** — Report the incident to the AI service provider per your agreement</w:t>
      </w:r>
    </w:p>
    <w:p>
      <w:pPr>
        <w:pStyle w:val="ListParagraph"/>
        <w:numPr>
          <w:ilvl w:val="0"/>
          <w:numId w:val="2"/>
        </w:numPr>
      </w:pPr>
      <w:r>
        <w:t xml:space="preserve">**Update safeguards** — Strengthen input validation, output filtering, and prompt guardrails</w:t>
      </w:r>
    </w:p>
    <w:p>
      <w:pPr>
        <w:pStyle w:val="ListParagraph"/>
        <w:numPr>
          <w:ilvl w:val="0"/>
          <w:numId w:val="2"/>
        </w:numPr>
      </w:pPr>
      <w:r>
        <w:t xml:space="preserve">**Document** — Record the incident with specific attention to data flow through AI services</w:t>
      </w:r>
    </w:p>
    <w:p>
      <w:pPr>
        <w:pStyle w:val="Heading2"/>
      </w:pPr>
      <w:r>
        <w:t>11. PCI DSS Incident Procedures</w:t>
      </w:r>
    </w:p>
    <w:p>
      <w:r>
        <w:t xml:space="preserve">This project processes payment data. The following PCI DSS-specific procedures apply to incidents involving cardholder data.</w:t>
      </w:r>
    </w:p>
    <w:p>
      <w:pPr>
        <w:pStyle w:val="Heading3"/>
      </w:pPr>
      <w:r>
        <w:t>PCI Incident Requirements</w:t>
      </w:r>
    </w:p>
    <w:p>
      <w:pPr>
        <w:pStyle w:val="ListParagraph"/>
        <w:numPr>
          <w:ilvl w:val="0"/>
          <w:numId w:val="1"/>
        </w:numPr>
      </w:pPr>
      <w:r>
        <w:t xml:space="preserve">[ ] Immediately contain and limit the exposure of cardholder data</w:t>
      </w:r>
    </w:p>
    <w:p>
      <w:pPr>
        <w:pStyle w:val="ListParagraph"/>
        <w:numPr>
          <w:ilvl w:val="0"/>
          <w:numId w:val="1"/>
        </w:numPr>
      </w:pPr>
      <w:r>
        <w:t xml:space="preserve">[ ] Notify your payment processor (e.g., Stripe, PayPal) within **24 hours** of discovering a breach</w:t>
      </w:r>
    </w:p>
    <w:p>
      <w:pPr>
        <w:pStyle w:val="ListParagraph"/>
        <w:numPr>
          <w:ilvl w:val="0"/>
          <w:numId w:val="1"/>
        </w:numPr>
      </w:pPr>
      <w:r>
        <w:t xml:space="preserve">[ ] Notify the relevant card brands (Visa, Mastercard, etc.) per their specific timelines</w:t>
      </w:r>
    </w:p>
    <w:p>
      <w:pPr>
        <w:pStyle w:val="ListParagraph"/>
        <w:numPr>
          <w:ilvl w:val="0"/>
          <w:numId w:val="1"/>
        </w:numPr>
      </w:pPr>
      <w:r>
        <w:t xml:space="preserve">[ ] Engage a PCI Forensic Investigator (PFI) if required by the card brands</w:t>
      </w:r>
    </w:p>
    <w:p>
      <w:pPr>
        <w:pStyle w:val="ListParagraph"/>
        <w:numPr>
          <w:ilvl w:val="0"/>
          <w:numId w:val="1"/>
        </w:numPr>
      </w:pPr>
      <w:r>
        <w:t xml:space="preserve">[ ] Preserve all evidence for forensic investigation</w:t>
      </w:r>
    </w:p>
    <w:p>
      <w:pPr>
        <w:pStyle w:val="ListParagraph"/>
        <w:numPr>
          <w:ilvl w:val="0"/>
          <w:numId w:val="1"/>
        </w:numPr>
      </w:pPr>
      <w:r>
        <w:t xml:space="preserve">[ ] Do NOT restart or alter compromised systems until forensic evidence is collected</w:t>
      </w:r>
    </w:p>
    <w:p>
      <w:pPr>
        <w:pStyle w:val="Heading3"/>
      </w:pPr>
      <w:r>
        <w:t>Payment Data Breach Checklist</w:t>
      </w:r>
    </w:p>
    <w:p>
      <w:pPr>
        <w:pStyle w:val="ListParagraph"/>
        <w:numPr>
          <w:ilvl w:val="0"/>
          <w:numId w:val="1"/>
        </w:numPr>
      </w:pPr>
      <w:r>
        <w:t xml:space="preserve">[ ] Confirm whether primary account numbers (PANs) were exposed</w:t>
      </w:r>
    </w:p>
    <w:p>
      <w:pPr>
        <w:pStyle w:val="ListParagraph"/>
        <w:numPr>
          <w:ilvl w:val="0"/>
          <w:numId w:val="1"/>
        </w:numPr>
      </w:pPr>
      <w:r>
        <w:t xml:space="preserve">[ ] Determine if CVV/CVC or PIN data was compromised</w:t>
      </w:r>
    </w:p>
    <w:p>
      <w:pPr>
        <w:pStyle w:val="ListParagraph"/>
        <w:numPr>
          <w:ilvl w:val="0"/>
          <w:numId w:val="1"/>
        </w:numPr>
      </w:pPr>
      <w:r>
        <w:t xml:space="preserve">[ ] Verify that cardholder data was being handled per PCI DSS requirements</w:t>
      </w:r>
    </w:p>
    <w:p>
      <w:pPr>
        <w:pStyle w:val="ListParagraph"/>
        <w:numPr>
          <w:ilvl w:val="0"/>
          <w:numId w:val="1"/>
        </w:numPr>
      </w:pPr>
      <w:r>
        <w:t xml:space="preserve">[ ] Document all compromised merchant IDs and terminal IDs</w:t>
      </w:r>
    </w:p>
    <w:p>
      <w:pPr>
        <w:pStyle w:val="ListParagraph"/>
        <w:numPr>
          <w:ilvl w:val="0"/>
          <w:numId w:val="1"/>
        </w:numPr>
      </w:pPr>
      <w:r>
        <w:t xml:space="preserve">[ ] Prepare for potential PCI DSS re-certification</w:t>
      </w:r>
    </w:p>
    <w:p>
      <w:pPr>
        <w:pStyle w:val="Heading2"/>
      </w:pPr>
      <w:r>
        <w:t>Review Notes</w:t>
      </w:r>
    </w:p>
    <w:p>
      <w:pPr>
        <w:pStyle w:val="Heading3"/>
      </w:pPr>
      <w:r>
        <w:t>What a lawyer should check</w:t>
      </w:r>
    </w:p>
    <w:p>
      <w:pPr>
        <w:pStyle w:val="ListParagraph"/>
        <w:numPr>
          <w:ilvl w:val="0"/>
          <w:numId w:val="1"/>
        </w:numPr>
      </w:pPr>
      <w:r>
        <w:t xml:space="preserve">Verify notification timelines meet GDPR 72-hour requirement</w:t>
      </w:r>
    </w:p>
    <w:p>
      <w:pPr>
        <w:pStyle w:val="ListParagraph"/>
        <w:numPr>
          <w:ilvl w:val="0"/>
          <w:numId w:val="1"/>
        </w:numPr>
      </w:pPr>
      <w:r>
        <w:t xml:space="preserve">Confirm escalation procedures are realistic</w:t>
      </w:r>
    </w:p>
    <w:p>
      <w:pPr>
        <w:pStyle w:val="ListParagraph"/>
        <w:numPr>
          <w:ilvl w:val="0"/>
          <w:numId w:val="1"/>
        </w:numPr>
      </w:pPr>
      <w:r>
        <w:t xml:space="preserve">Check that all required roles are assigned</w:t>
      </w:r>
    </w:p>
    <w:p>
      <w:pPr>
        <w:pStyle w:val="ListParagraph"/>
        <w:numPr>
          <w:ilvl w:val="0"/>
          <w:numId w:val="1"/>
        </w:numPr>
      </w:pPr>
      <w:r>
        <w:t xml:space="preserve">Ensure breach notification templates are jurisdiction-appropriate</w:t>
      </w:r>
    </w:p>
    <w:p>
      <w:pPr>
        <w:pStyle w:val="Heading3"/>
      </w:pPr>
      <w:r>
        <w:t>Auto-generated vs. needs human input</w:t>
      </w:r>
    </w:p>
    <w:p>
      <w:r>
        <w:rPr>
          <w:sz w:val="20"/>
        </w:rPr>
        <w:t xml:space="preserve">Section  |  Status  |  Confidence</w:t>
      </w:r>
    </w:p>
    <w:p>
      <w:r>
        <w:rPr>
          <w:sz w:val="20"/>
        </w:rPr>
        <w:t xml:space="preserve">Response procedures  |  Standard template  |  Medium</w:t>
      </w:r>
    </w:p>
    <w:p>
      <w:r>
        <w:rPr>
          <w:sz w:val="20"/>
        </w:rPr>
        <w:t xml:space="preserve">Notification timelines  |  Based on GDPR requirements  |  High</w:t>
      </w:r>
    </w:p>
    <w:p>
      <w:r>
        <w:rPr>
          <w:sz w:val="20"/>
        </w:rPr>
        <w:t xml:space="preserve">Team assignments  |  Placeholder — needs completion  |  N/A</w:t>
      </w:r>
    </w:p>
    <w:p>
      <w:pPr>
        <w:pStyle w:val="Heading2"/>
      </w:pPr>
      <w:r>
        <w:t>Related Documents</w:t>
      </w:r>
    </w:p>
    <w:p>
      <w:pPr>
        <w:pStyle w:val="ListParagraph"/>
        <w:numPr>
          <w:ilvl w:val="0"/>
          <w:numId w:val="1"/>
        </w:numPr>
      </w:pPr>
      <w:r>
        <w:t xml:space="preserve">Security Policy (`SECURITY.md`)</w:t>
      </w:r>
    </w:p>
    <w:p>
      <w:pPr>
        <w:pStyle w:val="ListParagraph"/>
        <w:numPr>
          <w:ilvl w:val="0"/>
          <w:numId w:val="1"/>
        </w:numPr>
      </w:pPr>
      <w:r>
        <w:t xml:space="preserve">Data Breach Notification Templates (`DATA_BREACH_NOTIFICATION_TEMPLATE.md`)</w:t>
      </w:r>
    </w:p>
    <w:p>
      <w:pPr>
        <w:pStyle w:val="ListParagraph"/>
        <w:numPr>
          <w:ilvl w:val="0"/>
          <w:numId w:val="1"/>
        </w:numPr>
      </w:pPr>
      <w:r>
        <w:t xml:space="preserve">Business Continuity Plan (`BUSINESS_CONTINUITY_PLAN.md`)</w:t>
      </w:r>
    </w:p>
    <w:p>
      <w:pPr>
        <w:pStyle w:val="ListParagraph"/>
        <w:numPr>
          <w:ilvl w:val="0"/>
          <w:numId w:val="1"/>
        </w:numPr>
      </w:pPr>
      <w:r>
        <w:t xml:space="preserve">Disaster Recovery Plan (`DISASTER_RECOVERY_PLAN.md`)</w:t>
      </w:r>
    </w:p>
    <w:p>
      <w:pPr>
        <w:pBdr>
          <w:bottom w:val="single" w:sz="6" w:space="1" w:color="999999"/>
        </w:pBdr>
      </w:pPr>
    </w:p>
    <w:p>
      <w:r>
        <w:t xml:space="preserve">This incident response plan was generated by [Codepliant](https://github.com/joechensmartz/codepliant) based on an automated scan of the nextjs-saas-example codebase. It should be reviewed and customized by your legal and security teams before adoption.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